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2C54EE" w:rsidRDefault="002C54EE" w:rsidP="002C54EE">
      <w:pPr>
        <w:pStyle w:val="Default"/>
        <w:numPr>
          <w:ilvl w:val="0"/>
          <w:numId w:val="18"/>
        </w:numPr>
        <w:jc w:val="both"/>
      </w:pPr>
      <w:r>
        <w:t xml:space="preserve">Название: </w:t>
      </w:r>
      <w:proofErr w:type="spellStart"/>
      <w:r>
        <w:t>Гломерулонефриты</w:t>
      </w:r>
      <w:proofErr w:type="spellEnd"/>
      <w:r>
        <w:t xml:space="preserve"> (ОГН и ХГН).</w:t>
      </w:r>
    </w:p>
    <w:p w:rsidR="002C54EE" w:rsidRPr="002C54EE" w:rsidRDefault="002C54EE" w:rsidP="002C54E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2C54EE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8.2</w:t>
      </w:r>
      <w:r w:rsidRPr="002C54EE">
        <w:rPr>
          <w:rFonts w:ascii="Times New Roman" w:hAnsi="Times New Roman"/>
        </w:rPr>
        <w:t>.</w:t>
      </w:r>
    </w:p>
    <w:p w:rsidR="002C54EE" w:rsidRPr="002C54EE" w:rsidRDefault="002C54EE" w:rsidP="002C54E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2C54EE">
        <w:rPr>
          <w:sz w:val="24"/>
        </w:rPr>
        <w:t>Наименование цикла: Про</w:t>
      </w:r>
      <w:r w:rsidRPr="002C54EE">
        <w:rPr>
          <w:sz w:val="24"/>
        </w:rPr>
        <w:softHyphen/>
        <w:t>фес</w:t>
      </w:r>
      <w:r w:rsidRPr="002C54EE">
        <w:rPr>
          <w:sz w:val="24"/>
        </w:rPr>
        <w:softHyphen/>
        <w:t>сио</w:t>
      </w:r>
      <w:r w:rsidRPr="002C54EE">
        <w:rPr>
          <w:sz w:val="24"/>
        </w:rPr>
        <w:softHyphen/>
        <w:t>наль</w:t>
      </w:r>
      <w:r w:rsidRPr="002C54EE">
        <w:rPr>
          <w:sz w:val="24"/>
        </w:rPr>
        <w:softHyphen/>
        <w:t>ная пе</w:t>
      </w:r>
      <w:r w:rsidRPr="002C54EE">
        <w:rPr>
          <w:sz w:val="24"/>
        </w:rPr>
        <w:softHyphen/>
        <w:t>ре</w:t>
      </w:r>
      <w:r w:rsidRPr="002C54EE">
        <w:rPr>
          <w:sz w:val="24"/>
        </w:rPr>
        <w:softHyphen/>
        <w:t>под</w:t>
      </w:r>
      <w:r w:rsidRPr="002C54EE">
        <w:rPr>
          <w:sz w:val="24"/>
        </w:rPr>
        <w:softHyphen/>
        <w:t>го</w:t>
      </w:r>
      <w:r w:rsidRPr="002C54EE">
        <w:rPr>
          <w:sz w:val="24"/>
        </w:rPr>
        <w:softHyphen/>
        <w:t>тов</w:t>
      </w:r>
      <w:r w:rsidRPr="002C54EE">
        <w:rPr>
          <w:sz w:val="24"/>
        </w:rPr>
        <w:softHyphen/>
        <w:t>ка (ПП) врачей по специальности «Терапия».</w:t>
      </w:r>
    </w:p>
    <w:p w:rsidR="002C54EE" w:rsidRPr="002C54EE" w:rsidRDefault="002C54EE" w:rsidP="002C54E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2C54EE">
        <w:rPr>
          <w:sz w:val="24"/>
        </w:rPr>
        <w:t xml:space="preserve">Контингент </w:t>
      </w:r>
      <w:proofErr w:type="gramStart"/>
      <w:r w:rsidRPr="002C54EE">
        <w:rPr>
          <w:sz w:val="24"/>
        </w:rPr>
        <w:t>обучающихся</w:t>
      </w:r>
      <w:proofErr w:type="gramEnd"/>
      <w:r w:rsidRPr="002C54EE">
        <w:rPr>
          <w:sz w:val="24"/>
        </w:rPr>
        <w:t xml:space="preserve">: </w:t>
      </w:r>
      <w:r w:rsidRPr="002C54E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Продолжительность практического занятия: </w:t>
      </w:r>
      <w:r>
        <w:rPr>
          <w:rFonts w:ascii="Times New Roman" w:hAnsi="Times New Roman"/>
          <w:sz w:val="24"/>
          <w:szCs w:val="24"/>
        </w:rPr>
        <w:t>2</w:t>
      </w:r>
      <w:r w:rsidRPr="002C54EE">
        <w:rPr>
          <w:rFonts w:ascii="Times New Roman" w:hAnsi="Times New Roman"/>
          <w:sz w:val="24"/>
          <w:szCs w:val="24"/>
        </w:rPr>
        <w:t xml:space="preserve"> часа.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2C54E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C54EE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2C54E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C54EE" w:rsidRPr="002C54EE" w:rsidRDefault="002C54EE" w:rsidP="002C54EE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54EE">
        <w:rPr>
          <w:rFonts w:ascii="Times New Roman" w:hAnsi="Times New Roman"/>
          <w:sz w:val="24"/>
          <w:szCs w:val="24"/>
        </w:rPr>
        <w:t>Гломерулонефриты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(острые и хронические). Этиология, патогенез, классификация, </w:t>
      </w:r>
      <w:proofErr w:type="spellStart"/>
      <w:r w:rsidRPr="002C54EE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гистологические типы, основные клинические симптомы и их патогенез. Клинические формы и варианты течения, осложнения. Дифференциальная диагностика. Лечение острого и хронического </w:t>
      </w:r>
      <w:proofErr w:type="spellStart"/>
      <w:r w:rsidRPr="002C54EE">
        <w:rPr>
          <w:rFonts w:ascii="Times New Roman" w:hAnsi="Times New Roman"/>
          <w:sz w:val="24"/>
          <w:szCs w:val="24"/>
        </w:rPr>
        <w:t>гломерулонефритов</w:t>
      </w:r>
      <w:proofErr w:type="spellEnd"/>
      <w:r w:rsidRPr="002C54EE">
        <w:rPr>
          <w:rFonts w:ascii="Times New Roman" w:hAnsi="Times New Roman"/>
          <w:sz w:val="24"/>
          <w:szCs w:val="24"/>
        </w:rPr>
        <w:t>, терапия основных симптомов, лечения осложнений, особенности лечения в условиях поликлиники, показания к стационарному лечению,  санаторно-курортное лечение,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C54E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2C54EE" w:rsidRDefault="002C54EE" w:rsidP="002C54EE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54EE">
        <w:rPr>
          <w:rFonts w:ascii="Times New Roman" w:hAnsi="Times New Roman"/>
          <w:sz w:val="24"/>
          <w:szCs w:val="24"/>
        </w:rPr>
        <w:t>Гломерулонефриты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(острые и хронические). Этиология, патогенез, классификация, </w:t>
      </w:r>
      <w:proofErr w:type="spellStart"/>
      <w:r w:rsidRPr="002C54EE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гистологические типы, основные клинические симптомы и их патогенез. </w:t>
      </w:r>
    </w:p>
    <w:p w:rsidR="002C54EE" w:rsidRDefault="002C54EE" w:rsidP="002C54EE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Клинические формы и варианты течения, осложнения. </w:t>
      </w:r>
    </w:p>
    <w:p w:rsidR="002C54EE" w:rsidRDefault="002C54EE" w:rsidP="002C54EE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Дифференциальная диагностика. </w:t>
      </w:r>
    </w:p>
    <w:p w:rsidR="002C54EE" w:rsidRPr="002C54EE" w:rsidRDefault="002C54EE" w:rsidP="002C54EE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Лечение острого и хронического </w:t>
      </w:r>
      <w:proofErr w:type="spellStart"/>
      <w:r w:rsidRPr="002C54EE">
        <w:rPr>
          <w:rFonts w:ascii="Times New Roman" w:hAnsi="Times New Roman"/>
          <w:sz w:val="24"/>
          <w:szCs w:val="24"/>
        </w:rPr>
        <w:t>гломерулонефритов</w:t>
      </w:r>
      <w:proofErr w:type="spellEnd"/>
      <w:r w:rsidRPr="002C54EE">
        <w:rPr>
          <w:rFonts w:ascii="Times New Roman" w:hAnsi="Times New Roman"/>
          <w:sz w:val="24"/>
          <w:szCs w:val="24"/>
        </w:rPr>
        <w:t>, терапия основных симптомов, лечения осложнений, особенности лечения в условиях поликлиники, показания к стационарному лечению,  санаторно-курортное лечение,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</w:t>
      </w:r>
      <w:r w:rsidRPr="002C54EE">
        <w:rPr>
          <w:rFonts w:ascii="Times New Roman" w:hAnsi="Times New Roman"/>
          <w:sz w:val="24"/>
          <w:szCs w:val="24"/>
        </w:rPr>
        <w:lastRenderedPageBreak/>
        <w:t xml:space="preserve">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19"/>
  </w:num>
  <w:num w:numId="9">
    <w:abstractNumId w:val="11"/>
  </w:num>
  <w:num w:numId="10">
    <w:abstractNumId w:val="1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8"/>
  </w:num>
  <w:num w:numId="16">
    <w:abstractNumId w:val="4"/>
  </w:num>
  <w:num w:numId="17">
    <w:abstractNumId w:val="14"/>
  </w:num>
  <w:num w:numId="18">
    <w:abstractNumId w:val="13"/>
  </w:num>
  <w:num w:numId="19">
    <w:abstractNumId w:val="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C72C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625</Words>
  <Characters>3568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6</cp:revision>
  <dcterms:created xsi:type="dcterms:W3CDTF">2018-02-06T12:19:00Z</dcterms:created>
  <dcterms:modified xsi:type="dcterms:W3CDTF">2018-11-22T14:28:00Z</dcterms:modified>
</cp:coreProperties>
</file>